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ההלכה והמצוות</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(10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(10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ה' – א – הלכה ואגדה</w:t>
            </w:r>
          </w:p>
        </w:tc>
        <w:tc>
          <w:tcPr>
            <w:tcW w:type="dxa" w:w="4968"/>
          </w:tcPr>
          <w:p>
            <w:pPr>
              <w:spacing w:after="40" w:line="240" w:lineRule="auto"/>
              <w:jc w:val="right"/>
            </w:pPr>
            <w:r>
              <w:rPr>
                <w:rFonts w:ascii="David" w:hAnsi="David"/>
                <w:b w:val="0"/>
                <w:i w:val="0"/>
                <w:color w:val="2D3748"/>
                <w:sz w:val="19"/>
                <w:rtl w:val="1"/>
                <w:rFonts w:cs="David" w:ascii="David" w:hAnsi="David"/>
              </w:rPr>
              <w:t>2. קובץ ה' – ב – הלכה ואגדה</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ז' – סו – מצוות בין אדם למקום ובין אדם לחברו</w:t>
            </w:r>
          </w:p>
        </w:tc>
        <w:tc>
          <w:tcPr>
            <w:tcW w:type="dxa" w:w="4968"/>
          </w:tcPr>
          <w:p>
            <w:pPr>
              <w:spacing w:after="40" w:line="240" w:lineRule="auto"/>
              <w:jc w:val="right"/>
            </w:pPr>
            <w:r>
              <w:rPr>
                <w:rFonts w:ascii="David" w:hAnsi="David"/>
                <w:b w:val="0"/>
                <w:i w:val="0"/>
                <w:color w:val="2D3748"/>
                <w:sz w:val="19"/>
                <w:rtl w:val="1"/>
                <w:rFonts w:cs="David" w:ascii="David" w:hAnsi="David"/>
              </w:rPr>
              <w:t>4. קובץ ה' קמב – עניין המחשבה הפנימית והרצון</w:t>
            </w:r>
          </w:p>
        </w:tc>
      </w:tr>
      <w:tr>
        <w:tc>
          <w:tcPr>
            <w:tcW w:type="dxa" w:w="4968"/>
          </w:tcPr>
          <w:p>
            <w:pPr>
              <w:spacing w:after="40" w:line="240" w:lineRule="auto"/>
              <w:jc w:val="right"/>
            </w:pPr>
            <w:r>
              <w:rPr>
                <w:rFonts w:ascii="David" w:hAnsi="David"/>
                <w:b w:val="0"/>
                <w:i w:val="0"/>
                <w:color w:val="2D3748"/>
                <w:sz w:val="19"/>
                <w:rtl w:val="1"/>
                <w:rFonts w:cs="David" w:ascii="David" w:hAnsi="David"/>
              </w:rPr>
              <w:t>5. עין איה / שבת א / פרק שני / קסט</w:t>
            </w:r>
          </w:p>
        </w:tc>
        <w:tc>
          <w:tcPr>
            <w:tcW w:type="dxa" w:w="4968"/>
          </w:tcPr>
          <w:p>
            <w:pPr>
              <w:spacing w:after="40" w:line="240" w:lineRule="auto"/>
              <w:jc w:val="right"/>
            </w:pPr>
            <w:r>
              <w:rPr>
                <w:rFonts w:ascii="David" w:hAnsi="David"/>
                <w:b w:val="0"/>
                <w:i w:val="0"/>
                <w:color w:val="2D3748"/>
                <w:sz w:val="19"/>
                <w:rtl w:val="1"/>
                <w:rFonts w:cs="David" w:ascii="David" w:hAnsi="David"/>
              </w:rPr>
              <w:t>6. פנקס הדפים א' [2]</w:t>
            </w:r>
          </w:p>
        </w:tc>
      </w:tr>
      <w:tr>
        <w:tc>
          <w:tcPr>
            <w:tcW w:type="dxa" w:w="4968"/>
          </w:tcPr>
          <w:p>
            <w:pPr>
              <w:spacing w:after="40" w:line="240" w:lineRule="auto"/>
              <w:jc w:val="right"/>
            </w:pPr>
            <w:r>
              <w:rPr>
                <w:rFonts w:ascii="David" w:hAnsi="David"/>
                <w:b w:val="0"/>
                <w:i w:val="0"/>
                <w:color w:val="2D3748"/>
                <w:sz w:val="19"/>
                <w:rtl w:val="1"/>
                <w:rFonts w:cs="David" w:ascii="David" w:hAnsi="David"/>
              </w:rPr>
              <w:t>7. פנקס הדפים ה' [13]</w:t>
            </w:r>
          </w:p>
        </w:tc>
        <w:tc>
          <w:tcPr>
            <w:tcW w:type="dxa" w:w="4968"/>
          </w:tcPr>
          <w:p>
            <w:pPr>
              <w:spacing w:after="40" w:line="240" w:lineRule="auto"/>
              <w:jc w:val="right"/>
            </w:pPr>
            <w:r>
              <w:rPr>
                <w:rFonts w:ascii="David" w:hAnsi="David"/>
                <w:b w:val="0"/>
                <w:i w:val="0"/>
                <w:color w:val="2D3748"/>
                <w:sz w:val="19"/>
                <w:rtl w:val="1"/>
                <w:rFonts w:cs="David" w:ascii="David" w:hAnsi="David"/>
              </w:rPr>
              <w:t>8. פנקס הדפים ה' [15]</w:t>
            </w:r>
          </w:p>
        </w:tc>
      </w:tr>
      <w:tr>
        <w:tc>
          <w:tcPr>
            <w:tcW w:type="dxa" w:w="4968"/>
          </w:tcPr>
          <w:p>
            <w:pPr>
              <w:spacing w:after="40" w:line="240" w:lineRule="auto"/>
              <w:jc w:val="right"/>
            </w:pPr>
            <w:r>
              <w:rPr>
                <w:rFonts w:ascii="David" w:hAnsi="David"/>
                <w:b w:val="0"/>
                <w:i w:val="0"/>
                <w:color w:val="2D3748"/>
                <w:sz w:val="19"/>
                <w:rtl w:val="1"/>
                <w:rFonts w:cs="David" w:ascii="David" w:hAnsi="David"/>
              </w:rPr>
              <w:t>9. עין איה / ברכות א / פרק ראשון – מאימתי / קסב. ברכות יב/א</w:t>
            </w:r>
          </w:p>
        </w:tc>
        <w:tc>
          <w:tcPr>
            <w:tcW w:type="dxa" w:w="4968"/>
          </w:tcPr>
          <w:p>
            <w:pPr>
              <w:spacing w:after="40" w:line="240" w:lineRule="auto"/>
              <w:jc w:val="right"/>
            </w:pPr>
            <w:r>
              <w:rPr>
                <w:rFonts w:ascii="David" w:hAnsi="David"/>
                <w:b w:val="0"/>
                <w:i w:val="0"/>
                <w:color w:val="2D3748"/>
                <w:sz w:val="19"/>
                <w:rtl w:val="1"/>
                <w:rFonts w:cs="David" w:ascii="David" w:hAnsi="David"/>
              </w:rPr>
              <w:t>10. עין איה / ברכות א / פרק שני – היה קורא / יד. ברכות טו/ב</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ה' – א – הלכה ואגדה</w:t>
      </w:r>
    </w:p>
    <w:p>
      <w:pPr>
        <w:spacing w:after="120" w:line="288" w:lineRule="auto"/>
        <w:jc w:val="right"/>
      </w:pPr>
      <w:r>
        <w:rPr>
          <w:rFonts w:ascii="David" w:hAnsi="David"/>
          <w:b w:val="0"/>
          <w:i w:val="0"/>
          <w:color w:val="212529"/>
          <w:sz w:val="23"/>
          <w:rtl w:val="1"/>
          <w:rFonts w:cs="David" w:ascii="David" w:hAnsi="David"/>
        </w:rPr>
        <w:t>ההלכה והאגדה צריכות הן להתאחד זו עם זו. ההכרח המביא לעסוק בשתיהן יחד, מוכרח הוא להביא גם כן את ההתאחדות הרוחנית שלהן. מה שמרגיש העוסק בהלכה כשנכנס באגדה. וכן להיפך, שהוא נכנס לעולם אחר, נוטל את החלק היותר גדול של ההפריה הרוחנית, הבאה מתוך מנוחת הנפש, שיסודה באחדות הפנימית. הננו קרואים לסול מסלות כאלה בארחות הלימוד. שעל ידיהן ההלכה והאגדה תתחברנה חיבור עצמי. הרעיון של קירוב עולמות רחוקים, זהו יסוד בנין העולם הרוחני ושכלולו, הוא כח יסודי עובר כחוט השני בכל גילויי החיים, בכל פנותיהם, והוא צריך להתגלות תמיד בצורה יותר רחבה. התכונה האנליטית, אחרי שפועלת את פעולתה המנתחת כדי לברר כל מקצוע על פי חוגו, צריכה היא להניח מקום להתכונה הסינטטית, להופיע באור הנשמה המאחדת, שכל המדעים, כל המקצועות הרוחניים לגווניהם השונים, יראו על ידה כאברים שונים בגויה אחת מחוטבה ואיתנה, שנשמה אחת מחוטבה ואיתנה וחיה, רבת האונים, מאירה בה. והתחלת צעדנו על ככר ההלכה והאגדה תגרור אחריה המון חיבורים והרמוניות לאין חקר. והעולמים השמימיים והעולמים הארציים, האנושיות הבשרית והאנושיות הרעיונית, עם כל העושר הצפון בכל אחד מהם, יתאחדו יחד לפעול זה על זה את הפעולה הרצויה לגודל ושכלול גמור. ומתוך הדעה הזאת יופיע אור חדש על המקצוע המיוחד שאנו באים לשים בו את עינינו ולבנו בחקרי התורה, חיבור ההלכה והאגדה. החיבור הזה אינו כי אם התגלות האחדות החבויה בהן מאז ומעולם. כל מי שלא טעם טעם הלכה לא טעם טעם תורה, וכל מי שלא טעם טעם אגדה לא טעם טעם יראת חטא. והתורה והיראה מוכרחות הן תמיד להתמזג. והעבודה הלימודית צריכה להתגלות, בתור צורה פועלת באופן מתודי על היסוד המאחד הלזה, שתוצאותיו כבירות מאד.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ה' – ב – הלכה ואגדה</w:t>
      </w:r>
    </w:p>
    <w:p>
      <w:pPr>
        <w:spacing w:after="120" w:line="288" w:lineRule="auto"/>
        <w:jc w:val="right"/>
      </w:pPr>
      <w:r>
        <w:rPr>
          <w:rFonts w:ascii="David" w:hAnsi="David"/>
          <w:b w:val="0"/>
          <w:i w:val="0"/>
          <w:color w:val="212529"/>
          <w:sz w:val="23"/>
          <w:rtl w:val="1"/>
          <w:rFonts w:cs="David" w:ascii="David" w:hAnsi="David"/>
        </w:rPr>
        <w:t>באמת יש בתוך האגדה תמיד תמצית הלכותית, וכמו כן בהלכה תוכן אגדי פנימי. על פי רוב מונח התוכן האגדי בצורתה האיכותית של ההלכה. והתוכן ההלכותי בתיאורה הכמותי של האגדה. ובלא חיפוש והרגשה מיוחדה מושפעים אנו בעת הלימוד ההלכותי מתכונתה האגדית המסותרה של ההלכה, ובלימוד האגדה, מקיצובה של ההלכה המעורב בתוכן האגדי. אמנם אין כל אחד מרגיש בבליטה הגונה את הזרמים הללו, שהם מלאים מציאות תדירית כל אחד במקצע של חברו. ההתנכרות של אלה העולמות, שהם כל כך דבקים ומותאמים בעצמותם זה עם זה, מביאה לידי פירוד חולני בטבע העיון והרחבתו, ומצמצם הוא בעוגה צרה את שני החוגים יחד, בין החוג ההלכותי, ובין החוג האגדי. חייבים אנו להבליט מאד את ההתודעות של אלה שני הכחות בצורה מתוקנת, שכל אחד יבסס יותר את תוכן חברו ויעזור ביותר לברר את פרטיו, ולהאיר אור יותר בהיר על תאוריו הכלליים, ועל עומק סברותיו והיקפן. ההלכה צריכה היא להתבסם מריח האגדה בשיעור מוטעם והגון, והאגדה צריכה גם היא להערך בתכנית של קצב, של משפטים קבועים והגיון מבורר ומוגדר, כתבניתה של ההלכה המאוששת, ועם זה יכפל כח שתיהן ורעננותן. הצורך שהביא את בעלי הפלפול בדורות שעברו, לנסות לפעמים לשלב את האגדה עם ההלכה, הוא באמת נובע מתביעה זו של אחדותם של אלה הכחות הפועלים כל כך יחד. ואנו שהננו כבר דרושים לקבץ כמה כשרונות וידיעות לברורם של תלמודנו, ושל כל ארחות חיינו, ובפרט שגם עצם הלימוד ההלכותי מוכרח הוא להיות מורכב מהרחבה של כמה שיטות, של ראשונים ושל אחרונים, שנתרבו במשך הדורות, וההתעמקות וההרחבה היא מוכרחת לנו ביותר, צריכים אנו כבר להתהלך בהרחבה גמורה גם ביחש לאיגודם של תוכני ההלכה והאגדה, שהם כוללים כבר כל השימושים ההגיוניים וההיסתוריים, המוסריים והאמוניים, ההרגשיים והנימוסיים. ועל כולם הופעה זכה, ספוגה מטל החיים של כללות אור התורה, שהיא ראויה לבא כלוית חן על כל העוסק בתורה לשמה, לתן לו עדן מיוחד ואושר של שמחת תורה, מעודדת לב.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ז' – סו – מצוות בין אדם למקום ובין אדם לחברו</w:t>
      </w:r>
    </w:p>
    <w:p>
      <w:pPr>
        <w:spacing w:after="120" w:line="288" w:lineRule="auto"/>
        <w:jc w:val="right"/>
      </w:pPr>
      <w:r>
        <w:rPr>
          <w:rFonts w:ascii="David" w:hAnsi="David"/>
          <w:b w:val="0"/>
          <w:i w:val="0"/>
          <w:color w:val="212529"/>
          <w:sz w:val="23"/>
          <w:rtl w:val="1"/>
          <w:rFonts w:cs="David" w:ascii="David" w:hAnsi="David"/>
        </w:rPr>
        <w:t>היחש הערכי של המצות המוסריות החברותיות, מצות שבין אדם לחברו, אל המצות הרוחניות, שהן מצות שבין אדם למקום, מתחלף הוא על פי ההארות השוטפות בביסוס הבנת התורה. המדע העליון הרציונלי מצד אחד, והרזיות הקדושה מצד השני, היותר פנימי ויותר מאוגד בתוכן העצמי של הופעת הקודש, הם באים עד לידי המסקנא האחרונה של ההויה, שהחברותיות היא רק אחת מחוליותיה, והרוחניות העליונה, האושר הנצחי, הוא היסוד, המגמה התכליתית. ועל פי זה יהיו המצות שבין אדם למקום היסוד העקרי, שהמוסד החברותי הוא רק סולם לעלות אליו, ויהיו המצות שהן עשויות למגמת התגלות האורה האלהית בנשמות, בחיי היחיד והצבור, באומה ובעולם, בטבע ובהויה בכלל, הצינורות היותר עליונים, שואבי החיים המגמתיים, ועמהן הן מקושרות כל המצות החברותיות בתור דרך ד' לעשות צדקה ומשפט. אמנם העין המוגבלה באידיאליה אינה יכולה להציץ יותר הרבה מהתוכן החברותי בפירוט גמור, ומתהוות המצות החברותיות אצלה ליסוד עקרי. אך אף על פי שאינה יכולה להציץ את הפירוט האורי של הגניזה האלהית של אוצר הנצח, התלוי באישור המדע העליון, יודעת ומכרת היא את כללותו, על כן הנבואה אחדה את הלהב המקנא נגד עבודה זרה מצד אחד בכל כללותו, ונגד הפרעות חברותיות מצד השני בעומק הפירוט. וחכם עדיף מנביא, מפני ששאיפת החכמה היא מיסוד התורה, שהיא ההתגלות העליונה, המאירה באספקלריותה המצוחצחת של הנבואה האבית של משה רבינו, היא עסוקה כבר בכל פירוט המצות הרוחניות לסעיפיהן, ותורת החיים שבין אדם למקום בכל המילוא הישראלי מסתעפת לנחליה הרבים, ונבנה הבית העליון, שהיסוד התחתיתי, הוא המכון החברותי, נעשה לו לבסיס חזק, וממילא גם הוא מתאדר למאד. ובאו הישועות לסדר נזיקין מאוגדות עם יסוד החסידות אשר לאבות ולברכות. והרוצה שיחכים יעסוק בדיני ממונות, שאין לך מקצ וע בתורה יותר מהם, שהם כמעין הנובע. ומתעלה יסוד הנבואה בהארתו בהצטרפות החכמה התורנית, חכמת סופרים אליו. ותורה ונבואה וחכמה יחד בונים את שכלול העולם, ובית ישראל הולך ומתכונן על ידי עמודיו השלשה, תורה ועבודה וגמילות חסדים, ודין ואמת ושלום שלעומתם.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ה' קמב – עניין המחשבה הפנימית והרצון</w:t>
      </w:r>
    </w:p>
    <w:p>
      <w:pPr>
        <w:spacing w:after="120" w:line="288" w:lineRule="auto"/>
        <w:jc w:val="right"/>
      </w:pPr>
      <w:r>
        <w:rPr>
          <w:rFonts w:ascii="David" w:hAnsi="David"/>
          <w:b w:val="0"/>
          <w:i w:val="0"/>
          <w:color w:val="212529"/>
          <w:sz w:val="23"/>
          <w:rtl w:val="1"/>
          <w:rFonts w:cs="David" w:ascii="David" w:hAnsi="David"/>
        </w:rPr>
        <w:t>לפי הבירור החי שהמגמה מתבררת בחיים, הולכים הם המעשים והמחשבות המסתעפות בעצמם ביפים ובגבורתם. הבירור המחשבתי הוא אחד מהבירורים היותר עקריים להמגמה התכליתית של החיים. אבל אותו המושג, שאנו קוראים מחשבה, איננו כולל עדיין את כל מניות החיים לכל עמקם. אותה המחשבה היסודית, שהיא באמת ראשית הכל, היא מחשבת החיים בעצמה, המחשבה שהיא יסוד החיים וכל המפעל, וכל המגמה והנטיה של החיים, המחשבה העליונה והמקורית שבנשמה, שממנה החיים נשאבים, ושעל פיה החיים מסתגננים. זאת המחשבה לבירורה לשמירתה ונקיונה צריכה היא לכל אותן העצות העליונות, שכל התורה כולה עסוקה בהן, ושבשביל כך המצות נקראות לבעלי הרזין תריג עטין דמלכא קדישא. המחשבה, שהתורה, שרוח הקודש מדבר עליה, היא אותה המחשבה היסודית, שאמנם כל מיני מחשבות ורעיונות הם קויה וניצוציה, צלליה והסתעפותיה, סופגים הם ממנה את לשד חייהם כל אחד ואחד לפי מדתו, ערכו וכחו. לפי אותה המדה של טהרתה ונקיונה של זאת המחשבה היסודית, גבורת החיים מתגלה, סוד אריכות החיים בה הוא גנוז, יראת ד' תוסיף ימים. בה חבוי סוד היראה הטהורה, יראת ד' טהורה עומדת לעד. כפי רוב הטוהר של נקודת שוהם זאת, של אור אש שמים זאת, טהרת החיים ועז החיים מתרומם, כל מה שהוא מסתעף מבחוץ מכחה הוא בא. היא אינה צריכה סיוע ואימוץ מהערות והתעוררות, ממפעלים ותנועות, כדי יאמץ את כחה, כי מקור גבורה היא. אמנם המפעלים כולם, לפי רוב דרגותיהם, התנועות החיצוניות כולן, התפקידים הבאים מפועל ורגש, מסידור הגיוני ומכל מבוע ומעין רוחני שהוא, הכל הוא להכין המון רב של כלים לשטף מי שפעתה. מעינה של גבורת נשמה זו לעולם מפכה הוא, מים חיים ונוזלים מן לבנון. ולפי רוב הכלים המוגשים יש אשר תשטוף ברכה בתוספת מרובה, תלך למרחקים, תרד במורד, נטישותיה שלחו עברו ים. כמשפט הנשמה ביחש להכרתה העצמית, כן הוא המשפט ביחש להכרת עמדתה אל הכלל, אל האומה, אל העולם, אל העולמים, אל היש, אל ההויות, אל כל אשר ממעל וכל אשר מתחת. לפי רוב עוצם הטוהר של הנקודה המחשבתית רבו הנטישות, רבי המעש, עצומי החיים. אמנם לפי אותה המדה שאין העצמה המחשבותית בנקיונה, צריכה היא בירור ואימוץ חיצוני, באים המעשים המסודרים, המחשבות העשויות והמסומנות, הציורים הדוגמתיים, הרננות והזמרים, וכל הפעולות המסייעות ופועלות את חשיפת החיים, מעוררות ונותנות אומץ, פותחות את צינורות הנביעות הפנימיות, ואור החיים וגודל הטוהר הולך ורב. מובן הדבר, שבאופן זה השמירה נחוצה על כל שעל, האורב יושב בחדר, והסימנים צריכים להיות תמיד נגד העינים, אל תט ימין ושמאל, הסר רגלך מרע. חסד עליון עשה אל למושעות לעולמו, באור תורת ד' תמימה, הנובעת ממקור קדומים, ממקור הנשמתי של המחשבה העליונה, ממקור הגבורה של בריאת כל עולמים, מצות ד' ברה מאירת עינים. המניות של עזוז החיים אשר להמחשבה העליונה נזרקות הן במזלפת המצות האלהיות בתוך הדם הרוחני של הנשמה לעומק תמצית ראש פסגת מקור כחותיה, ומתנת חיים נכונים ממרום באים, ולעומתה תתנשא נקודת המחשבה הפנימית, וממאסרה תצא, תקום לתחיה בעז חפש ודרור, והקודש העליון, אשר במצוה, החיה חיי חי העולמים, יתן לה עצמת חיים. והכל לפי רוב המעשה, ולפי טוהר הכונה, לפי הדבקות הרצונית שבנקודת המצוה ומחוללה. אבל הברות המחשבה העליונה, התגלותה של הנשמה בנקודת גבהה, בשוהם פנימיותה, מקבלת היא אל תוכה את הברכה לפי הכנתה באומה כולה, בחיים המסתעפים, ההומים ופועמים לחיי ציבור וסדריו. האיתניות המיוחדה תלויה היא ביחוד, בנצחה והודה, בערך התבררות סוד המחשבה העליונה שבאומה, בהתיחדותה עם שרשה, שהיא מחשבת רז עולם אשר בצל שדי, מגמת החיים ויפעתם, מהותם ופרים, ציצם ופרחם. היקיצה לתחיה ולגאולה תלויה היא בהתעלותה של הנקודה הנשמתית הכללית, המרוכות ביותר בשרידים אשר ד' קורא.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עין איה / שבת א / פרק שני / קסט</w:t>
      </w:r>
    </w:p>
    <w:p>
      <w:pPr>
        <w:spacing w:after="120" w:line="288" w:lineRule="auto"/>
        <w:jc w:val="right"/>
      </w:pPr>
      <w:r>
        <w:rPr>
          <w:rFonts w:ascii="David" w:hAnsi="David"/>
          <w:b w:val="0"/>
          <w:i w:val="0"/>
          <w:color w:val="212529"/>
          <w:sz w:val="23"/>
          <w:rtl w:val="1"/>
          <w:rFonts w:cs="David" w:ascii="David" w:hAnsi="David"/>
        </w:rPr>
        <w:t>אמר רבה בר"ה, כל אדם שיש בו תורה ואין בו י"ש דומה לגזבר שמסרו לו מפתחות הפנימיות ומפתחות החיצונות לא מסרו לו, בהי עייל. השליטים שבנפש הם השכל והרגש, כח המופת להעמיד כל דעה וכל מחקר על בירורו ההגיוני וההמשכה הישרה אל היושר והטוב לחוש בחוש הפנימי ההולך למשרים, מהי הדרך הטובה הנאותה לאדם למען יהי' עולה למעלה למשכיל. והנה ודאי שהשכל הטהור הוא יותר מזוכך ופנימי מהרגש שהוא משתתף מעט עם טבע הגוף. יסוד התורה הוא השכל הטהור האלהי, שעם עמלו של אדם בעסקו בתורה לשמה היא מתכוננת בלבבו בדעה שלמה. ויסוד היראה הוא הרגש הטהור ההולך למשרים, שבזה יש יתרון רב בין מעלות הנפשות לפי מוסרם ומעשיהם הטובים המכשירים אותם להיות לבותיהם נכונים לחיים של קדושה. היראה המושפעת מהרגש הכללי המתמלא בלב מההשקפה הגדולה על פלאותיו של צור העולמים ב"ה, "כי אראה שמיך מעשה אצבעותיך", היא נקראת יראת שמים. והנה באמת הטעם הפנימי המונח ג"כ בעמקי המשפטים ההגיוניים הקרים והיבשים ביחש אל רגש הלב המתפעל והנרעש בקול רעש גדול, לפי ענין הידיעה האמיתית, הוא תלוי ברגש הלב הפנימי, בשמיעה הפנימית, להבין את הערך של השכל הטהור אל הרגש הקדוש החי בלב האדם ההולך למשרים בדרכי ד' וטובו. ע"כ מי שאין לו רגש טהור, אע"פ שהוא ענין חיצוני לגבי המושכלות הצחים, מ"מ לא יוכל להשכיל ולחוש ג"כ את ענין המשפטים המופתיים בהשגת אלהות. א"כ אע"פ ששליט יהיה לכאורה בדרכי המופתים והעיונים המופשטים, מ"מ אל תוכם הפנימי לא יקרב. כי תעודת כל המושכלות היא להגיעם אל האדם המשיג בתוך נקודת עצמיותו, שאז תדבק נפשו באמת באור החיים. ע"כ רק בדרך ציור שטחי ישכיל את המושכלות הצחים, אם רגש לבבו לא התעלה בדרך קדושה וטהרה. אבל לא יוכל להיות שליט על פיהם על דרכי חייו ועל מעשיו להיטיבם. א"כ השליטה תהי' לו רק ציורית אבל לא מעשית, נהי עייל. כי התכונות והמדות הנה מקרבות את האדם להאיר אור שכלו בקרב נפשו פנימה כשהן כתיקונן, אע"פ שהם דברים חומריים וחיצוניים לגבי הפנימיים, אבל המה חוצצים בעדו כשהם משוללים. ע"כ מי שיש בו תורה, אע"פ ששכלו וצורתו המופתית האיר יפה, מ"מ כיון שאין לו יראת שמים, באשר לא קנה הרגש הצח והישר, דומה לגזבר. קלישות הקנין גם בשכל מפני חוסר הרגש, עושה את קניניו לא לעצמיות, להיות הוא בעליהם, כענין "יהיו לך לבדך", כ"א "כמו זר נחשבו". עד שעם שיש לו קנינים שכליים איננו אדון עליהם כ"א גזבר. ולו הי' גזבר שיכול להשתמש בכחו היה הדבר עוד ממוצע, שאם היו המושכלות יכולים להכריע עכ"פ את עניניו המעשיים, אע"פ שבקרב הלב לא היו פועלים לבער כל מדה רעה ולהרים את הקדושה והמוסר הטהור בנפשו למדרגה עליונה מפני חסרון הקניה הפנימית, מ"מ השליטה המעשית היתה ג"כ טובה ויקרה. אבל בהיותו כגזבר שנמסרו לו מפתחות הפנימיות ומפתחות החיצוניות לא נמסרו לו, נדע שאין בכחו להשתמש במושכליו שום שימוש מעשי נגד הכחות הרעים המתעוררים בקרבו פנימה, ואם כי יפליא לעשות לדבר נשגבות ורמות, שזאת היא מסבת מסירת המפתחות, שעכ"פ רושם גדול פועל גם הלימוד המופתי, בפרט בדברי תורה, מ"מ בערך מה שהם צריכים לפעול לא יוכלו, כי סגר עליו הדרך. שכ"ז שהמוסר הפנימי איננו דבק בלב ברגשי קודש, לא יוכל להשכיל ג"כ בעומק של אמת את המושג הצח של השכל הקדוש ההולך למשרים בכל חדרי תורה, שהיא מלאה כולה בדרכי ד', בצדק ובמשפט, שהם הם הנם מפתחות החיצוניות. וכיון שהם לא נמסרו לו, בהי עייל.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פנקס הדפים א' [2]</w:t>
      </w:r>
    </w:p>
    <w:p>
      <w:pPr>
        <w:spacing w:after="120" w:line="288" w:lineRule="auto"/>
        <w:jc w:val="right"/>
      </w:pPr>
      <w:r>
        <w:rPr>
          <w:rFonts w:ascii="David" w:hAnsi="David"/>
          <w:b w:val="0"/>
          <w:i w:val="0"/>
          <w:color w:val="212529"/>
          <w:sz w:val="23"/>
          <w:rtl w:val="1"/>
          <w:rFonts w:cs="David" w:ascii="David" w:hAnsi="David"/>
        </w:rPr>
        <w:t>המצות כוללות בכללותן ובפרטן את כל הטעמים כולם, מפני שהן אריגה אחת אורגנית מפרטים הצריכים זה לזה. על כן הננו צריכים תמיד למצא בכל מצוה את יסודות כל הטעמים כולם וכל פרטי הרכבותיהם, דהיינו יסוד הנטיה הפרטית הנמוכה, שמזה נובעים כל הטעמים ההגיניים שבמצות וכל מה שהוא מביא קורת רוח והרחבת הדעת פנימית, והנטיה היחידית העליונה המכללת את ההויה כולה כאחד, שמזה נובעים רעיונות גדולים ומגמות נצחיות למעלה למעלה. וארבע הנטיות הממוצעות ביניהם, שהנן – הנטיה האלהית בתורת דרישת ד' הבורא כל ומחיה כל, רבון כל העולמים ואלֹה כל הנשמות, והנטיה המוסרית המוחלטת השואפת לצדק, לחיים, ליושר ולמשפט בכל, והנטיה הדתית החפצה להתקדש בכל תכסיסי מעשים ומנהגים קדושים, הממולאה ביחש אלהי ומוסר אלהי על ידי השפעה קיבוצית המתהוה על ידי כח נשגב של אדם עליון המתנשא ממעל לכל העם כולו, והמרומם אותם אל האלהים בכחו הרוחני העליון השופע מבהירות העליוניות של הנטיה האלהית, והנטיה האנכית העליונה העומדת על גבה, בצירוף הנטיה הלאומית המוצאת קורת רוח וחיים שלמים בהשתתפות הגמורה עם כללות האומה, עם קיומה והמשכת חייה לדורותיה בצביונה וברוחה הפנימי. שקוטב הנטיה הוא להבליט את כל הנטיות כולן, של האנכיות ושל האלהות, של המוסריות ושל הדתיות, הכל בצורה המיוחדת הנאותה לטבע האומה, הרוחני והחומרי, דהיינו לפי הטבע הפסיכולוגי של האומה, ולפי טבע התולדה והמורשה של האבות והגזע, ולפי הטבע הגיאוגרפי של ארץ נחלתה, ולפי הערך של מצבה בכל אלה בין העמים כולם שעל פני כל הארץ. אלא שאנו צריכים לכוין בכל מצוה ביותר את המניות, שישנן מצות כאלה שצד אחד מן הצדדים של אלה הנטיות גובר בה והצדדים האחרים הנם כנטפלים לו, וישנן מצות כאלה שמתבלטים צדדים שונים בה. וזה החילוף הוא תלוי גם כן בשינויי הזמנים, שלפעמים מתגלה במצוה אחת או מצות רבות צביון של נטיה אחת ויתר הצביונות הנם עלומים בקרבה, ואחרי עבור משך דורות מתחלף הדבר, ונטיה וצביון אחר מתגלה בה, והצביון הראשון נעשה נעלם ובלוע. והחילוף הזה נותן גם כן לחקר עיונים בחלקי המצות ובפרטיהם לפי הזמנים. ביחוד מתגבר חילוף הנטיות במעבר שבין מצות התורה למצות מדרבנן, שישנן מצות כאלה שהנן בשורשן מן התורה, אלא שעל ידי מסיבות וחילופי המצב של האומה נעשות דרבנן, ואז מתגלים בהן הצביונות בהרכבה אחרת ממה שהיו בתחילה.</w:t>
      </w:r>
    </w:p>
    <w:p>
      <w:pPr>
        <w:spacing w:after="120" w:line="288" w:lineRule="auto"/>
        <w:jc w:val="right"/>
      </w:pPr>
      <w:r>
        <w:rPr>
          <w:rFonts w:ascii="David" w:hAnsi="David"/>
          <w:b w:val="0"/>
          <w:i w:val="0"/>
          <w:color w:val="212529"/>
          <w:sz w:val="23"/>
          <w:rtl w:val="1"/>
          <w:rFonts w:cs="David" w:ascii="David" w:hAnsi="David"/>
        </w:rPr>
        <w:t>ששה צדדים יש לנו לפי זה לבקש בכל מצוה, ולפעמים נמצאים כולם בגלוי, ולפעמים נמצא רק חלקים מהם גלויים ויתרם מכוסים. הא', צד האנכיות, הטובה הפרטית. הב', הצד העליון של הכל, עילוי ורוממות ההויה הכללית. הג', הצד האלהי המטה את ההשפעה של החיים לרוממות שאיפת דעת אלהים בשכל או בהרגשה. הד', הצד המוסרי, הרבות היושר החסד הצדק וכל הטוב. הה', הצד האמוני, הרבות דעת האמונה והרגשתה, התגלות תמציתה העליון המכוון מהוייתה, וזיכוך הלב הבא על ידי חיזוקה ואומץ הופעתה. הו', הצד הלאומי המקשר את האומה בצורתה הרוחנית ובמעמדים הרוחניים הנדרשים לה.</w:t>
      </w:r>
    </w:p>
    <w:p>
      <w:pPr>
        <w:spacing w:after="120" w:line="288" w:lineRule="auto"/>
        <w:jc w:val="right"/>
      </w:pPr>
      <w:r>
        <w:rPr>
          <w:rFonts w:ascii="David" w:hAnsi="David"/>
          <w:b w:val="0"/>
          <w:i w:val="0"/>
          <w:color w:val="212529"/>
          <w:sz w:val="23"/>
          <w:rtl w:val="1"/>
          <w:rFonts w:cs="David" w:ascii="David" w:hAnsi="David"/>
        </w:rPr>
        <w:t>להציב לדוגמא מצות אחדות. למשל:</w:t>
      </w:r>
    </w:p>
    <w:p>
      <w:pPr>
        <w:spacing w:after="120" w:line="288" w:lineRule="auto"/>
        <w:jc w:val="right"/>
      </w:pPr>
      <w:r>
        <w:rPr>
          <w:rFonts w:ascii="David" w:hAnsi="David"/>
          <w:b w:val="0"/>
          <w:i w:val="0"/>
          <w:color w:val="212529"/>
          <w:sz w:val="23"/>
          <w:rtl w:val="1"/>
          <w:rFonts w:cs="David" w:ascii="David" w:hAnsi="David"/>
        </w:rPr>
        <w:t>א. מצות פריה ורביה. בה אנו מוצאים את כל הצדדים מאירים. לאדם הפרטי – אשרו בעולם בשמחת החיים על ידי זרע חיים אשר יראה בעולמו, חברת חיי המשפחה וחוגה המאיר את מחשכי הלב לעת מצא של זקנה, של מחלה ופגע, כמה נכבדים הם זרע האדם וקשר החיים המאחדם. זהו מצד האנכיות.</w:t>
      </w:r>
    </w:p>
    <w:p>
      <w:pPr>
        <w:spacing w:after="120" w:line="288" w:lineRule="auto"/>
        <w:jc w:val="right"/>
      </w:pPr>
      <w:r>
        <w:rPr>
          <w:rFonts w:ascii="David" w:hAnsi="David"/>
          <w:b w:val="0"/>
          <w:i w:val="0"/>
          <w:color w:val="212529"/>
          <w:sz w:val="23"/>
          <w:rtl w:val="1"/>
          <w:rFonts w:cs="David" w:ascii="David" w:hAnsi="David"/>
        </w:rPr>
        <w:t>הצד האידיאלי העליון, ההויה בכללותה – מי שלבו מלא אהבה אל המציאות, מי שמוצא את האושר והטוב הנמצא בכללות ההויה כשהיא משתקפת לא רק מצד אחד כי אם מכל ערכה, מכל עברה, מכל ההוה שלה ומכל עתידה, מכל חומריותה ומכל רוחניותה, מכל מזגיה, מכל היופי, מכל העונג, מכל הזוהר שלה, שבכללה הכל מזהיר, הכל מאיר, שהרי גם הכיעור והחושך מתהפך לאור על ידי ההכללה, במעמד כזה מתלקחת אש קודש, אש מאירה בכבוד ומחיה לב בנחת, לאהבת החיים, להגדלת מציאות החיים, להרבות את הדמות, להוסיף אור חיים בעולם, למען תהיה ההויה יותר רחבה ויותר מתפשטת, והמבט העליון העדין בהוד של האדם סוקר על כל המצוי באנכיות עליונה, מרגיש את הצנורות המחברים אותו אל הכל, שמח באושר הכל ומתענג בנועם הכל. על כן מתגלה כל הצד העליון הזה גם כן במצוה זו.</w:t>
      </w:r>
    </w:p>
    <w:p>
      <w:pPr>
        <w:spacing w:after="120" w:line="288" w:lineRule="auto"/>
        <w:jc w:val="right"/>
      </w:pPr>
      <w:r>
        <w:rPr>
          <w:rFonts w:ascii="David" w:hAnsi="David"/>
          <w:b w:val="0"/>
          <w:i w:val="0"/>
          <w:color w:val="212529"/>
          <w:sz w:val="23"/>
          <w:rtl w:val="1"/>
          <w:rFonts w:cs="David" w:ascii="David" w:hAnsi="David"/>
        </w:rPr>
        <w:t>הצד האלהי – האושר של דעת אלהים, הרבות החכמה, התרחבות השאיפה העליונה שהיא צריכה לריבוי גוונים. ודאי כל נפש חיה יש לה תיאוריה מיוחדת. כל התגלות של חיים מוסיפה דעת ורגש אלהי בעולם ומבלטת חותם חדש על החיים, גם במקום שהיא ניכרת רק מעט מכל מקום היא נמצאת, היא מצטרפת לחשבון גדול.</w:t>
      </w:r>
    </w:p>
    <w:p>
      <w:pPr>
        <w:spacing w:after="120" w:line="288" w:lineRule="auto"/>
        <w:jc w:val="right"/>
      </w:pPr>
      <w:r>
        <w:rPr>
          <w:rFonts w:ascii="David" w:hAnsi="David"/>
          <w:b w:val="0"/>
          <w:i w:val="0"/>
          <w:color w:val="212529"/>
          <w:sz w:val="23"/>
          <w:rtl w:val="1"/>
          <w:rFonts w:cs="David" w:ascii="David" w:hAnsi="David"/>
        </w:rPr>
        <w:t>מצד המוסר – כיון שהחיים הנם אהובים ויקרים, כיון שיש להם ערך השוה לסבול את העולם באהבה כל כך אדירה, ראוי להרבות להם משכללים ועוזרים. כל מה שהעוזרים ירבו, יוסיפו החיים בעצמם שלמות, עד שיעלו למרום פסגתם. על כן קורא המוסר בצדק להרבות את החיים, למען הרחיב את גבול הצדק והטוב.</w:t>
      </w:r>
    </w:p>
    <w:p>
      <w:pPr>
        <w:spacing w:after="120" w:line="288" w:lineRule="auto"/>
        <w:jc w:val="right"/>
      </w:pPr>
      <w:r>
        <w:rPr>
          <w:rFonts w:ascii="David" w:hAnsi="David"/>
          <w:b w:val="0"/>
          <w:i w:val="0"/>
          <w:color w:val="212529"/>
          <w:sz w:val="23"/>
          <w:rtl w:val="1"/>
          <w:rFonts w:cs="David" w:ascii="David" w:hAnsi="David"/>
        </w:rPr>
        <w:t>מצד האמונה – התוכן העליון המתגלה על ידי המון המעשים, המון [--], על פי סדרי התורה והמצוה, המה צריכים לעובדים. כל מה שתתרבה האגודה, ניכרת יותר השפעתה, וכל מצוה שתעשה בעולם ממשכת היא על העולם את הזוהר האלהי המתגלה על ידה בגניזה העליונה בצורה יותר מובלטת ועשירה. על כן מלא מאוד הוא [ערכה] של מצוה היסודית הזאת בתוכן האמונה והחזקת התורה המעשית והלבית.</w:t>
      </w:r>
    </w:p>
    <w:p>
      <w:pPr>
        <w:spacing w:after="120" w:line="288" w:lineRule="auto"/>
        <w:jc w:val="right"/>
      </w:pPr>
      <w:r>
        <w:rPr>
          <w:rFonts w:ascii="David" w:hAnsi="David"/>
          <w:b w:val="0"/>
          <w:i w:val="0"/>
          <w:color w:val="212529"/>
          <w:sz w:val="23"/>
          <w:rtl w:val="1"/>
          <w:rFonts w:cs="David" w:ascii="David" w:hAnsi="David"/>
        </w:rPr>
        <w:t>מצד הלאומיות – אין זה צריך ביאור מה גדול הוא הערך של תוספת כחות עובדים באומה שכל יסודה הוא התאגדות הפרטים לכלל אחד, ברוח אחד, בדעה אחת ומגמה משותפת, בכל המצבים, הכלליים החמריים והרוחניים.</w:t>
      </w:r>
    </w:p>
    <w:p>
      <w:pPr>
        <w:spacing w:after="120" w:line="288" w:lineRule="auto"/>
        <w:jc w:val="right"/>
      </w:pPr>
      <w:r>
        <w:rPr>
          <w:rFonts w:ascii="David" w:hAnsi="David"/>
          <w:b w:val="0"/>
          <w:i w:val="0"/>
          <w:color w:val="212529"/>
          <w:sz w:val="23"/>
          <w:rtl w:val="1"/>
          <w:rFonts w:cs="David" w:ascii="David" w:hAnsi="David"/>
        </w:rPr>
        <w:t>ב. מילה. החופש הטהור הוא מקור השלמות העליונה. כל נשמה בריאה שואפת לחופש כמה שתוכל. החופש נמצא כשתנועות החיים הולכות אחרי ההכרה הברורה בטוב שנמצא בנטיה שהן חפצות לנטות לה. הננו תמיד רגילים לראות עם החופש של הרצון את הרפיון ואת החולשה, מפני שבכל מקום שהננו רואים חזיון אדיר וכביר בכח שם אין חופש, על כן מתערב בציורנו חופש זה של הרפיון עם בהירות האור של החופש. אבל הוא בא מחולשה של הכרתנו, שהננו יכולים להתרומם עליה ולהכיר את החופש המוחלט בעצם חזקו ובעצם עדינותו יחד, ואז הננו ממולאים חשק לנטות אליו ולראות בו את השלמות היותר עליונה. יצירת החיים, מפני חשיבותה לקיום העולם, לא תוכל להמסר ביד החופש המוגבל שלנו, המחולש עם חולשתנו, על כן נמצא בנטיה זו מקור העבדות של האנושיות, שהחולשה הבהמית שבו מתגלה על ידו. וכאשר לא רק יצירת החיים לבדה היא הפעולה הבודדת במאורע החיים, כי אם כל טעם החיים הגנוז בתוכיות הנשמה הנהו כלול מחביון שאיפת הופעת החיים, על כן כפי המדה של העבדות הנסוכה על הנטיה של יצירת החיים כן מתפשטת העבדות השפלה על כל צורת החיים. ובאותה המדה שנטיה זו מתלבשת ומתעטרת בחירות, כה החיים מתעלים בכללם ומשתלמים בשלמות החופש. אמנם המועקה העבדותית מוכרחת להופיע בראשיתה. לא חמדת חפץ הארת אור החיים מצד הכרה פנימית ועריגה עדינה להם תחולל בפועל את ההויה הממשית של החיים, כי אם העבדות של חולשת הנטיה, עד שיסודה האידיאלי נשכח ממנה ונרמס תחת רגליה הגסות. התכונה הפסיכית והפתלוגית הגסה הזאת פועלת על היצירה הבשרית את צורת הערלה. העליה המאירה, להכין את החופש העליון להאיר על כל מחשכי עולם באומה המוכנת כבר שהאורה האידיאלית תהיה בה כל כך חזקה עד שתופיע בבהירותה גם בפינת נטיית הויית החיים ויצירתם, עד שברוח עליון ובהיר תכניס את קוי אורותיה, מלאים זיו ועדן מדושן, גם בכל מערכת החיים, במקום שהעבדות של החולשה המזוהמת ממלאתם – לזה צריך העברת הערלה וחותם אות ברית קודש. הפעולה בזכרונה ובפעלה הטבעי מכשרת את האפשרות לחיים אידיאלים חזקים, המכניסים את אורם גם בתוך התכונה של נטיית הויית החיים הממלאה חם ואור את כל החיים כולם. הערלה הגמורה משימה את האידיאל של העלאת אבוקת החיים למרמס ולטפל, אשר רק במקרה הוא נמשך מתוך השכרון של החולשה של הנטיה הבשרית המהוממת. המילה תתן מקום גם להאידיאל של העלאת אור החיים להזריח כמעט, אבל לא תוכל להשליטו כולו, ורב לה אם לא ישכח מתוך מהומת השכרון לגמרי מתוך הרגש והלב. הפריעה מופיעה את האידיאל של הופעת החיים במילואו, באופן שיוכן הרוח להיות הוא כח הפועל בהמשכת החיים, ובכח כל כך שלם עד שכל אותם הזיקים המסותרים שליבוב החיים כולם הולכים מהם, ימלאו על ידי האידיאליות השלמה של חפץ הופעת החיים בשביל הכרת יפים ורב טובם בצורה היותר בולטת, שזהו האידיאל של הקדושה הנעימה המיוחדת לישראל, האוהבת את המשפחה ואת ההפריה המתוקנת בכונניותה המוסרית העדינה, ושונאת הזימה בכל מלא הנפש.</w:t>
      </w:r>
    </w:p>
    <w:p>
      <w:pPr>
        <w:spacing w:after="120" w:line="288" w:lineRule="auto"/>
        <w:jc w:val="right"/>
      </w:pPr>
      <w:r>
        <w:rPr>
          <w:rFonts w:ascii="David" w:hAnsi="David"/>
          <w:b w:val="0"/>
          <w:i w:val="0"/>
          <w:color w:val="212529"/>
          <w:sz w:val="23"/>
          <w:rtl w:val="1"/>
          <w:rFonts w:cs="David" w:ascii="David" w:hAnsi="David"/>
        </w:rPr>
        <w:t>א. מצד הנטיה להאניות הרוממה הכללית – מובנת יסוד המצוה הזאת. שאיפת ההכללה של הפרט עם הכלל כולו, פתיחת הצינורות המחברים את היחיד עם כל המציאות על ידי התגברות ההכרה העליונה וכל עדינות ההרגשות העליונות, הנם מטים את האדם להרבות את התפשטות החיים למען יוסיף כח האושר להתרחב, למען יתוספו שלהביות של אורה בתוך האורה הכללית של המציאות, המבהיק מאד בחייו הכלליים מרובי הגוונים ותאומי ההרמוניה. והפעולה להטביע בקרב הנשמה את רוממות שאיפת ההכללה העליונה, מתאמת עם מצוה זו, המקרבת את השאיפה החזקה והמושכת הנמזגת בכל השאיפות כולם בנימים נסתרים מאד אל האידיאליות הכללית, על ידי נתינת האפשרות להשחרור האידיאלי מתוך מועקת העבדות של הנטיה במעמדה הטבעי הבלתי מואר.</w:t>
      </w:r>
    </w:p>
    <w:p>
      <w:pPr>
        <w:spacing w:after="120" w:line="288" w:lineRule="auto"/>
        <w:jc w:val="right"/>
      </w:pPr>
      <w:r>
        <w:rPr>
          <w:rFonts w:ascii="David" w:hAnsi="David"/>
          <w:b w:val="0"/>
          <w:i w:val="0"/>
          <w:color w:val="212529"/>
          <w:sz w:val="23"/>
          <w:rtl w:val="1"/>
          <w:rFonts w:cs="David" w:ascii="David" w:hAnsi="David"/>
        </w:rPr>
        <w:t>ב. מצד האנכיות בצורתה הנמוכה – תשיג מצוה זו את מטרתה להרחיב את הנפש ולהשקיטה, בהיות התשוקה המינית איננה מתנגדת לתשוקות העדינות הנמצאות בנפש, כי אם היא מתקשרת בכולם על ידי אגד חיובי ממקור אלהי. והסרת המלחמה הפנימית מיסודה, מביאה שלוה ומעמד של נחת בחיים.</w:t>
      </w:r>
    </w:p>
    <w:p>
      <w:pPr>
        <w:spacing w:after="120" w:line="288" w:lineRule="auto"/>
        <w:jc w:val="right"/>
      </w:pPr>
      <w:r>
        <w:rPr>
          <w:rFonts w:ascii="David" w:hAnsi="David"/>
          <w:b w:val="0"/>
          <w:i w:val="0"/>
          <w:color w:val="212529"/>
          <w:sz w:val="23"/>
          <w:rtl w:val="1"/>
          <w:rFonts w:cs="David" w:ascii="David" w:hAnsi="David"/>
        </w:rPr>
        <w:t>ג. מצד הנטיה אל דעת אלהים – ודאי אי אפשר להשכל העליון של ההכרה האלהית לרוץ את ארחו, כל זמן שתוכן החיים הוא כולו סגור בתוך תשוקה עורת שאין לה כי אם פרטיותה ועבדותה החלושה. על כן גדולה היא המילה, שעושה את האדם לתמים ולמוכשר לתשוקה פנימית של עונג דעת אלהים, המנהיג בחסדו כל דור וכוללם יחד.</w:t>
      </w:r>
    </w:p>
    <w:p>
      <w:pPr>
        <w:spacing w:after="120" w:line="288" w:lineRule="auto"/>
        <w:jc w:val="right"/>
      </w:pPr>
      <w:r>
        <w:rPr>
          <w:rFonts w:ascii="David" w:hAnsi="David"/>
          <w:b w:val="0"/>
          <w:i w:val="0"/>
          <w:color w:val="212529"/>
          <w:sz w:val="23"/>
          <w:rtl w:val="1"/>
          <w:rFonts w:cs="David" w:ascii="David" w:hAnsi="David"/>
        </w:rPr>
        <w:t>ד. מצד המעמד המוסרי – אין שום ספק בדבר שההשקטה הנפשית וההתאמה הטבעית אל הצדק העליון של הויית החיים. על ידי הסרת הערלה מתרחב גם כן רגש המוסר והכרת הצדק המוחלט המונח ביסוד אהבת החיים כשהיא מעודנת ומוסרה מזוהמתה הזימית.</w:t>
      </w:r>
    </w:p>
    <w:p>
      <w:pPr>
        <w:spacing w:after="120" w:line="288" w:lineRule="auto"/>
        <w:jc w:val="right"/>
      </w:pPr>
      <w:r>
        <w:rPr>
          <w:rFonts w:ascii="David" w:hAnsi="David"/>
          <w:b w:val="0"/>
          <w:i w:val="0"/>
          <w:color w:val="212529"/>
          <w:sz w:val="23"/>
          <w:rtl w:val="1"/>
          <w:rFonts w:cs="David" w:ascii="David" w:hAnsi="David"/>
        </w:rPr>
        <w:t>ה. מצד הדת – השויית הנטיה הטבעית עם האידיאל העליון על ידי מעשה קצוב ומתואר, מכשרת את הרגש ואת השכל ללכת בכל אורח המעשה התורי, המקשר תמיד את הפעולות עם הרעיונות הצפונות בהם.</w:t>
      </w:r>
    </w:p>
    <w:p>
      <w:pPr>
        <w:spacing w:after="120" w:line="288" w:lineRule="auto"/>
        <w:jc w:val="right"/>
      </w:pPr>
      <w:r>
        <w:rPr>
          <w:rFonts w:ascii="David" w:hAnsi="David"/>
          <w:b w:val="0"/>
          <w:i w:val="0"/>
          <w:color w:val="212529"/>
          <w:sz w:val="23"/>
          <w:rtl w:val="1"/>
          <w:rFonts w:cs="David" w:ascii="David" w:hAnsi="David"/>
        </w:rPr>
        <w:t>ו. מצד הרגש הלאומי – דבר פשוט הוא שהשיווי האופי הוא מחזק את הקישור הלאומי. והשיווי המיוחד, הבא על ידי הצטיינות של שינוי מעמים אחרים, פועל להבליט ביותר את חותם האומה בכללותה. על כן יש לאות ברית קודש החלק היותר עקרי של קיום האומה וקישורה הרוחני והמעשי.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פנקס הדפים ה' [13]</w:t>
      </w:r>
    </w:p>
    <w:p>
      <w:pPr>
        <w:spacing w:after="120" w:line="288" w:lineRule="auto"/>
        <w:jc w:val="right"/>
      </w:pPr>
      <w:r>
        <w:rPr>
          <w:rFonts w:ascii="David" w:hAnsi="David"/>
          <w:b w:val="0"/>
          <w:i w:val="0"/>
          <w:color w:val="212529"/>
          <w:sz w:val="23"/>
          <w:rtl w:val="1"/>
          <w:rFonts w:cs="David" w:ascii="David" w:hAnsi="David"/>
        </w:rPr>
        <w:t>יסוד הנסתר של איסור ערלה הוא, שהכח המתגלה בצמיחה של האילן בשנותיו הראשונות הוא מוכן להשפיל את הנפש המאירה באור החיים הרוחניים העדינים, וכשמתחברת לזה הנטיה הבולמוסית של הנאת החיך, ביחוד המוטבעת עמוק על ידי עסקנות קבועה, לעסוק בנטיעה בדברים שאין המחיה ההכרחית דורשת, כמו פירות בכלל, שהם מסוג המותרות, יחד הם מטמטמים מאד את הלב המרגיש ואת המח החושב, המעלים את האדם לשלמות יצירתו, להיות עלול להרגיש עדינות ולחשב גדולות ועדינות.</w:t>
      </w:r>
    </w:p>
    <w:p>
      <w:pPr>
        <w:spacing w:after="120" w:line="288" w:lineRule="auto"/>
        <w:jc w:val="right"/>
      </w:pPr>
      <w:r>
        <w:rPr>
          <w:rFonts w:ascii="David" w:hAnsi="David"/>
          <w:b w:val="0"/>
          <w:i w:val="0"/>
          <w:color w:val="212529"/>
          <w:sz w:val="23"/>
          <w:rtl w:val="1"/>
          <w:rFonts w:cs="David" w:ascii="David" w:hAnsi="David"/>
        </w:rPr>
        <w:t>המותרות מוצאות את תפקידן בחיי הכלל. על כן מתאגד הכלל על ידי הנטיעה במרכזו הרוחני, בהיות פריו קודש הלולים לד' בשנה הרביעית. התעלות הנשמה הכללית, והוספת כחה על ידי ההתעלות הרוחנית של יחידיה, מוסיפה בקרבה כח הפועל בכח ממשי בפועל גמור גם על יבול הארץ, "להוסיף לכם תבואתו". האחדות הזאת בין היחידים להכלל, ובין הרוח של האומה לטבע הארץ, הוא דבר מיוחד לתכונתם של ישראל, שנוצרו בצורה כזאת שרוח האלהי והלאומי, המוסרי והאמוני, ואפילו הטבעי הפרטי של כל יחיד, ותכונת הארץ מראשית כוננותה, הכל הוא חטיבה אחת שלא יתפרדו לעד. ואף אם יתרחקו החלקים הללו ויתפרדו זה מזה, יהיה פירוד של שעה, אבל מונח בכל אחד מהם כח מושך המחברו אל הכל. וסוף שישוב הכל לאיתן המערכה המורכבת הרכבה תואמית, המצומדת מכל אלה יחד, באופן אחדותי הפועל ומתפעל.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פנקס הדפים ה' [15]</w:t>
      </w:r>
    </w:p>
    <w:p>
      <w:pPr>
        <w:spacing w:after="120" w:line="288" w:lineRule="auto"/>
        <w:jc w:val="right"/>
      </w:pPr>
      <w:r>
        <w:rPr>
          <w:rFonts w:ascii="David" w:hAnsi="David"/>
          <w:b w:val="0"/>
          <w:i w:val="0"/>
          <w:color w:val="212529"/>
          <w:sz w:val="23"/>
          <w:rtl w:val="1"/>
          <w:rFonts w:cs="David" w:ascii="David" w:hAnsi="David"/>
        </w:rPr>
        <w:t>האשה היא הנשמה היותר עדינה שבאדם, והיותר שפלה. שני הצדדים נמצאים בה. על כן כל אשר ספרו כל הרומנטים בשבחה אמת הוא, וכל מה שדברו שונאי הנשים גם כן אמת הוא. חליפות רוחה מתגלה גם כן בחייה הטבעיים, ימי טהרה וימי טומאה. בימי טומאה מתגלה בתוכה הצד החלוש שבנפשה, וכל הכיעורים שבטבעה, הפנימים, מלאים אז בסתר רוחה. אמנם בעצמה היא מקבלת גם אז שפע מהצד הטהור, מהאיתנות של צד טהרתה, אבל היחש המיני הוא רק נפעל מהתכונה הזמנית. על כן אין קץ לטומאת גו ורוח שמחוללת טומאת הנדה, על ידי הזיווג, לשניהם. המטבע הקבועה של האיש מטבעת בקרבה קביעות טומאת וכיעור הנדה. רק על ידי טהרה של זמן ושל פעולה סגולית, שהציור, הירושה, האמונה וההרגל ההיסתורי, מועילים יחד עליו, טהרת מים בתכסיס של ההלכה המסורית, עוברת היא הטומאה הזאת, ורוח טהרה וקדושה בא ומתנוסס תחתיו, לקומם דורות של חיים מלאי עז ואור, מלאי רוח אהבה צחה, וגבורה טהורה ועדינה, זרע ברך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עין איה / ברכות א / פרק ראשון – מאימתי / קסב. ברכות יב/א</w:t>
      </w:r>
    </w:p>
    <w:p>
      <w:pPr>
        <w:spacing w:after="120" w:line="288" w:lineRule="auto"/>
        <w:jc w:val="right"/>
      </w:pPr>
      <w:r>
        <w:rPr>
          <w:rFonts w:ascii="David" w:hAnsi="David"/>
          <w:b w:val="0"/>
          <w:i w:val="0"/>
          <w:color w:val="212529"/>
          <w:sz w:val="23"/>
          <w:rtl w:val="1"/>
          <w:rFonts w:cs="David" w:ascii="David" w:hAnsi="David"/>
        </w:rPr>
        <w:t>עשרת הדברות, אף בגבולין בקשו לקרות כן אלא שכבר בטלום מפני תרעומות המינים. המינים טועים באמרם שהתכלית הוא רוח התורה, דהיינו הדעות האמיתיות שלה והמדות הטובות. ועפ"ז יעשו הבדל בין דברים עקרים לדעתם המיוסדים בדעות לשאר מעשים ומצות. אבל טעותם גדולה, בזה שהם חושבים שהדעות כבר הם תכלית האחרון. אבל אין התכלית שלמות האנושי נגמר באמת כ"א כשיוכל לחיות ולהתנהג בכללו ובפרטו ע"פ אותן הדיעות והמדות הטובות שבתורה, וע"ז צריך כל המעשים התוריים כולם, שהם מרגילים את העם כולו בדרך החיים. ובביטול חלק קטן מן התורה בפועל, ישארו הדעות בפ"ע והחיים ילכו כפי רצון האדם ושרירות לבו, ותבטל חלילה תכלית התורה בכללה, מה שלא יעלה כלל בידם, כי ד' דבר, שדברו יקום לעד לעולם. והמינים הם שמתרעמים על המצות המעשיות, שנראים לטעותם כמשא ומותר, מאחר שהעיקר אצלם הדעות. אבל הוא טעות, שהמעשים כולם מכוונים את האדם בכלל ובפרט לדרכי חיים, ובהיות המעשים הפרטים בלתי מוגדרים ע"פ תורת ד', לא יוכלו הדעות לפעול פעולתם כלל, ובהמשך הזמן תגדל ההתנגדות מצד הרגל המעשים לפי הרצון החפשי, שהוא הפך הדעות הטהורות, עד שגם הדעות ישתכחו ולא יתקיים דבר מהם, כ"א בשומרי תורה שעליהם נאמר "רוחי אשר עליך", ע"ד הענינים הכללים שהם כערך רוח התורה. "ודברי אשר שמתי בפיך", הם כל המעשים הפרטים, כשהם בפרטם "לא ימושו מפיך", דהיינו הפרטים שצריך לשננם בפה, שאין הלב זוכרם מעצמו בטבע, כערך הדברים שהם מתיחסים לרוחי אשר עליך, אז "מעתה ועד עולם" יתקיימו, ברית 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עין איה / ברכות א / פרק שני – היה קורא / יד. ברכות טו/ב</w:t>
      </w:r>
    </w:p>
    <w:p>
      <w:pPr>
        <w:spacing w:after="120" w:line="288" w:lineRule="auto"/>
        <w:jc w:val="right"/>
      </w:pPr>
      <w:r>
        <w:rPr>
          <w:rFonts w:ascii="David" w:hAnsi="David"/>
          <w:b w:val="0"/>
          <w:i w:val="0"/>
          <w:color w:val="212529"/>
          <w:sz w:val="23"/>
          <w:rtl w:val="1"/>
          <w:rFonts w:cs="David" w:ascii="David" w:hAnsi="David"/>
        </w:rPr>
        <w:t>למה נמשלו אהלים לנחלים, לומר לך מה נחלים מעלים את האדם מטומאה לטהרה, אף אהלים מעלים את האדם מכף חובה לכף זכות. טהרת האדם עם יסוד המים מכל הטומאות שבתורה, יש בו רמז, באשר טומאות המעשים והמדות והדיעות כולן באות מחסרון השקפתו של האדם על ענין היותו בעוה"ז מצד פרטיותו, כגר ולא כתושב, ועליו להשתמש בדברים שמוצא [רק] להפיק על ידם תכליתו הנצחי המעולה. ע"כ כשיבא במים, שמה יצויר גירותו. כי האדם אי אפשר לו להיות קבוע ותושב במים, רק על זמן מועט, ע"י איזה הכנה, ויבין מזה דה"ה בהיותו על הארץ, שהיא על המים, הרי הוא כגר בתוכה, ויכסוף לשום עקר מגמתו אל הטוב והחכמה הצדקה והמשרים, שהם קיימים לעד. כמו כן אוהלים, נקראו אהלי חכמה בשם אהלים, לשון ארעי, מפני שהדבר המביא ליקרת ההנהגה המעולה, הוא בהיות הציורים הגסים של קביעותו בעניני עוה"ז החומריים יסורו ממנו ורק ע"י לימוד התורה והגיון החכמה, ישתלמו דעותיו בזה, ויצא מכף חובה לכף זכות, לשום מעיינו בדברים שהם קיימים לעד. כי מלבד הטבת התכונות, שבא ע"י הלימוד, בהיותו משכיל לדעת את הטוב לעשותו, יש בקביעות האהלים, להמשיך רגש קדוש טבעי לכל הבא להסתופף בצילם, עד שרגשותיו יתהפכו מגסותם לצד עילוי וקדושה, כענין הטהרה של הטומאה ע"י הטבילה, שבאה בסגולה ע"י חק תורת ד' תמימה.</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ההלכה והמצוות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